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34" w:rsidRPr="00F52616" w:rsidRDefault="00003634">
      <w:pPr>
        <w:widowControl/>
        <w:jc w:val="center"/>
        <w:rPr>
          <w:rFonts w:ascii="Georgia" w:hAnsi="Georgia" w:cs="Georgia"/>
          <w:b/>
          <w:bCs/>
          <w:sz w:val="22"/>
          <w:szCs w:val="22"/>
          <w:shd w:val="clear" w:color="auto" w:fill="auto"/>
        </w:rPr>
      </w:pPr>
      <w:r w:rsidRPr="00F52616">
        <w:rPr>
          <w:rFonts w:ascii="Georgia" w:hAnsi="Georgia" w:cs="Georgia"/>
          <w:b/>
          <w:bCs/>
          <w:sz w:val="22"/>
          <w:szCs w:val="22"/>
          <w:shd w:val="clear" w:color="auto" w:fill="auto"/>
        </w:rPr>
        <w:t xml:space="preserve">CIRCULAR </w:t>
      </w:r>
      <w:r w:rsidR="00DF27FC" w:rsidRPr="00F52616">
        <w:rPr>
          <w:rFonts w:ascii="Georgia" w:hAnsi="Georgia" w:cs="Georgia"/>
          <w:b/>
          <w:bCs/>
          <w:sz w:val="22"/>
          <w:szCs w:val="22"/>
          <w:shd w:val="clear" w:color="auto" w:fill="auto"/>
        </w:rPr>
        <w:t>Nº</w:t>
      </w:r>
      <w:r w:rsidRPr="00F52616">
        <w:rPr>
          <w:rFonts w:ascii="Georgia" w:hAnsi="Georgia" w:cs="Georgia"/>
          <w:b/>
          <w:bCs/>
          <w:sz w:val="22"/>
          <w:szCs w:val="22"/>
          <w:shd w:val="clear" w:color="auto" w:fill="auto"/>
        </w:rPr>
        <w:t xml:space="preserve"> </w:t>
      </w:r>
      <w:r w:rsidR="007C746B" w:rsidRPr="00F52616">
        <w:rPr>
          <w:rFonts w:ascii="Georgia" w:hAnsi="Georgia" w:cs="Georgia"/>
          <w:b/>
          <w:bCs/>
          <w:sz w:val="22"/>
          <w:szCs w:val="22"/>
          <w:shd w:val="clear" w:color="auto" w:fill="auto"/>
        </w:rPr>
        <w:t>114</w:t>
      </w:r>
      <w:r w:rsidR="0027240C" w:rsidRPr="00F52616">
        <w:rPr>
          <w:rFonts w:ascii="Georgia" w:hAnsi="Georgia" w:cs="Georgia"/>
          <w:b/>
          <w:bCs/>
          <w:sz w:val="22"/>
          <w:szCs w:val="22"/>
          <w:shd w:val="clear" w:color="auto" w:fill="auto"/>
        </w:rPr>
        <w:t>-2014</w:t>
      </w:r>
    </w:p>
    <w:p w:rsidR="00003634" w:rsidRPr="00F52616" w:rsidRDefault="00003634">
      <w:pPr>
        <w:widowControl/>
        <w:rPr>
          <w:rFonts w:ascii="Georgia" w:hAnsi="Georgia" w:cs="Georgia"/>
          <w:sz w:val="22"/>
          <w:szCs w:val="22"/>
          <w:shd w:val="clear" w:color="auto" w:fill="auto"/>
        </w:rPr>
      </w:pPr>
    </w:p>
    <w:p w:rsidR="00003634" w:rsidRPr="00F52616" w:rsidRDefault="00003634">
      <w:pPr>
        <w:widowControl/>
        <w:rPr>
          <w:rFonts w:ascii="Georgia" w:hAnsi="Georgia" w:cs="Georgia"/>
          <w:sz w:val="22"/>
          <w:szCs w:val="22"/>
          <w:shd w:val="clear" w:color="auto" w:fill="auto"/>
        </w:rPr>
      </w:pPr>
    </w:p>
    <w:p w:rsidR="00003634" w:rsidRPr="00F52616" w:rsidRDefault="007252A6" w:rsidP="007252A6">
      <w:pPr>
        <w:widowControl/>
        <w:spacing w:line="360" w:lineRule="auto"/>
        <w:jc w:val="both"/>
        <w:rPr>
          <w:rFonts w:ascii="Georgia" w:hAnsi="Georgia" w:cs="Georgia"/>
          <w:sz w:val="22"/>
          <w:szCs w:val="22"/>
          <w:shd w:val="clear" w:color="auto" w:fill="auto"/>
        </w:rPr>
      </w:pPr>
      <w:r w:rsidRPr="00F52616">
        <w:rPr>
          <w:rFonts w:ascii="Georgia" w:hAnsi="Georgia" w:cs="Georgia"/>
          <w:b/>
          <w:bCs/>
          <w:sz w:val="22"/>
          <w:szCs w:val="22"/>
          <w:shd w:val="clear" w:color="auto" w:fill="auto"/>
        </w:rPr>
        <w:t>DE:</w:t>
      </w:r>
      <w:r w:rsidRPr="00F52616">
        <w:rPr>
          <w:rFonts w:ascii="Georgia" w:hAnsi="Georgia" w:cs="Georgia"/>
          <w:sz w:val="22"/>
          <w:szCs w:val="22"/>
          <w:shd w:val="clear" w:color="auto" w:fill="auto"/>
        </w:rPr>
        <w:tab/>
      </w:r>
      <w:r w:rsidRPr="00F52616">
        <w:rPr>
          <w:rFonts w:ascii="Georgia" w:hAnsi="Georgia" w:cs="Georgia"/>
          <w:sz w:val="22"/>
          <w:szCs w:val="22"/>
          <w:shd w:val="clear" w:color="auto" w:fill="auto"/>
        </w:rPr>
        <w:tab/>
        <w:t>MBA. Ana Eugenia Romero Jenkins, Directora Ejecutiva</w:t>
      </w:r>
    </w:p>
    <w:p w:rsidR="007252A6" w:rsidRDefault="007252A6" w:rsidP="00B36EF8">
      <w:pPr>
        <w:widowControl/>
        <w:ind w:left="1416" w:hanging="1416"/>
        <w:jc w:val="both"/>
        <w:rPr>
          <w:rFonts w:ascii="Georgia" w:hAnsi="Georgia" w:cs="Georgia"/>
          <w:sz w:val="22"/>
          <w:szCs w:val="22"/>
          <w:shd w:val="clear" w:color="auto" w:fill="auto"/>
        </w:rPr>
      </w:pPr>
      <w:r w:rsidRPr="00F52616">
        <w:rPr>
          <w:rFonts w:ascii="Georgia" w:hAnsi="Georgia" w:cs="Georgia"/>
          <w:b/>
          <w:bCs/>
          <w:sz w:val="22"/>
          <w:szCs w:val="22"/>
          <w:shd w:val="clear" w:color="auto" w:fill="auto"/>
        </w:rPr>
        <w:t>PARA:</w:t>
      </w:r>
      <w:r w:rsidRPr="00F52616">
        <w:rPr>
          <w:rFonts w:ascii="Georgia" w:hAnsi="Georgia" w:cs="Georgia"/>
          <w:sz w:val="22"/>
          <w:szCs w:val="22"/>
          <w:shd w:val="clear" w:color="auto" w:fill="auto"/>
        </w:rPr>
        <w:tab/>
      </w:r>
      <w:r w:rsidR="006A4A74">
        <w:rPr>
          <w:rFonts w:ascii="Georgia" w:hAnsi="Georgia" w:cs="Georgia"/>
          <w:sz w:val="22"/>
          <w:szCs w:val="22"/>
          <w:shd w:val="clear" w:color="auto" w:fill="auto"/>
        </w:rPr>
        <w:t xml:space="preserve">Administraciones Regionales, </w:t>
      </w:r>
      <w:r w:rsidR="007C746B" w:rsidRPr="00F52616">
        <w:rPr>
          <w:rFonts w:ascii="Georgia" w:hAnsi="Georgia" w:cs="Georgia"/>
          <w:sz w:val="22"/>
          <w:szCs w:val="22"/>
          <w:shd w:val="clear" w:color="auto" w:fill="auto"/>
        </w:rPr>
        <w:t>Departamento de Servicios Generale</w:t>
      </w:r>
      <w:r w:rsidR="000509B7">
        <w:rPr>
          <w:rFonts w:ascii="Georgia" w:hAnsi="Georgia" w:cs="Georgia"/>
          <w:sz w:val="22"/>
          <w:szCs w:val="22"/>
          <w:shd w:val="clear" w:color="auto" w:fill="auto"/>
        </w:rPr>
        <w:t xml:space="preserve">s, </w:t>
      </w:r>
      <w:r w:rsidR="006A4A74">
        <w:rPr>
          <w:rFonts w:ascii="Georgia" w:hAnsi="Georgia" w:cs="Georgia"/>
          <w:sz w:val="22"/>
          <w:szCs w:val="22"/>
          <w:shd w:val="clear" w:color="auto" w:fill="auto"/>
        </w:rPr>
        <w:t xml:space="preserve">Departamento de Proveeduría </w:t>
      </w:r>
      <w:r w:rsidR="006A4A74" w:rsidRPr="00F52616">
        <w:rPr>
          <w:rFonts w:ascii="Georgia" w:hAnsi="Georgia" w:cs="Georgia"/>
          <w:sz w:val="22"/>
          <w:szCs w:val="22"/>
          <w:shd w:val="clear" w:color="auto" w:fill="auto"/>
        </w:rPr>
        <w:t>y demás Centros de Responsabilidad</w:t>
      </w:r>
      <w:r w:rsidR="000509B7" w:rsidRPr="000509B7">
        <w:rPr>
          <w:rFonts w:ascii="Georgia" w:hAnsi="Georgia" w:cs="Georgia"/>
          <w:sz w:val="22"/>
          <w:szCs w:val="22"/>
          <w:shd w:val="clear" w:color="auto" w:fill="auto"/>
        </w:rPr>
        <w:t xml:space="preserve"> </w:t>
      </w:r>
      <w:r w:rsidR="000509B7">
        <w:rPr>
          <w:rFonts w:ascii="Georgia" w:hAnsi="Georgia" w:cs="Georgia"/>
          <w:sz w:val="22"/>
          <w:szCs w:val="22"/>
          <w:shd w:val="clear" w:color="auto" w:fill="auto"/>
        </w:rPr>
        <w:t>Presupuestaria</w:t>
      </w:r>
      <w:r w:rsidR="006A4A74">
        <w:rPr>
          <w:rFonts w:ascii="Georgia" w:hAnsi="Georgia" w:cs="Georgia"/>
          <w:sz w:val="22"/>
          <w:szCs w:val="22"/>
          <w:shd w:val="clear" w:color="auto" w:fill="auto"/>
        </w:rPr>
        <w:t>.</w:t>
      </w:r>
    </w:p>
    <w:p w:rsidR="000509B7" w:rsidRPr="000509B7" w:rsidRDefault="000509B7" w:rsidP="00062F7A">
      <w:pPr>
        <w:widowControl/>
        <w:ind w:left="1416" w:hanging="1416"/>
        <w:jc w:val="both"/>
        <w:rPr>
          <w:rFonts w:ascii="Georgia" w:hAnsi="Georgia" w:cs="Georgia"/>
          <w:sz w:val="22"/>
          <w:szCs w:val="22"/>
          <w:shd w:val="clear" w:color="auto" w:fill="auto"/>
        </w:rPr>
      </w:pPr>
      <w:r w:rsidRPr="000509B7">
        <w:rPr>
          <w:rFonts w:ascii="Georgia" w:hAnsi="Georgia" w:cs="Georgia"/>
          <w:b/>
          <w:bCs/>
          <w:sz w:val="22"/>
          <w:szCs w:val="22"/>
          <w:shd w:val="clear" w:color="auto" w:fill="auto"/>
        </w:rPr>
        <w:t xml:space="preserve">CC: </w:t>
      </w:r>
      <w:r>
        <w:rPr>
          <w:rFonts w:ascii="Georgia" w:hAnsi="Georgia" w:cs="Georgia"/>
          <w:b/>
          <w:bCs/>
          <w:sz w:val="22"/>
          <w:szCs w:val="22"/>
          <w:shd w:val="clear" w:color="auto" w:fill="auto"/>
        </w:rPr>
        <w:tab/>
      </w:r>
      <w:r w:rsidRPr="000509B7">
        <w:rPr>
          <w:rFonts w:ascii="Georgia" w:hAnsi="Georgia" w:cs="Georgia"/>
          <w:sz w:val="22"/>
          <w:szCs w:val="22"/>
          <w:shd w:val="clear" w:color="auto" w:fill="auto"/>
        </w:rPr>
        <w:t>Departamento de Servicios Generales</w:t>
      </w:r>
      <w:r w:rsidR="00062F7A">
        <w:rPr>
          <w:rFonts w:ascii="Georgia" w:hAnsi="Georgia" w:cs="Georgia"/>
          <w:sz w:val="22"/>
          <w:szCs w:val="22"/>
          <w:shd w:val="clear" w:color="auto" w:fill="auto"/>
        </w:rPr>
        <w:t xml:space="preserve">, </w:t>
      </w:r>
      <w:r w:rsidR="00630321">
        <w:rPr>
          <w:rFonts w:ascii="Georgia" w:hAnsi="Georgia" w:cs="Georgia"/>
          <w:sz w:val="22"/>
          <w:szCs w:val="22"/>
          <w:shd w:val="clear" w:color="auto" w:fill="auto"/>
        </w:rPr>
        <w:t>Departamento de Financiero Contable</w:t>
      </w:r>
      <w:r w:rsidR="00062F7A">
        <w:rPr>
          <w:rFonts w:ascii="Georgia" w:hAnsi="Georgia" w:cs="Georgia"/>
          <w:sz w:val="22"/>
          <w:szCs w:val="22"/>
          <w:shd w:val="clear" w:color="auto" w:fill="auto"/>
        </w:rPr>
        <w:t xml:space="preserve">, </w:t>
      </w:r>
      <w:r w:rsidR="00630321">
        <w:rPr>
          <w:rFonts w:ascii="Georgia" w:hAnsi="Georgia" w:cs="Georgia"/>
          <w:sz w:val="22"/>
          <w:szCs w:val="22"/>
          <w:shd w:val="clear" w:color="auto" w:fill="auto"/>
        </w:rPr>
        <w:t>Comisión de Asuntos Ambientales</w:t>
      </w:r>
      <w:r w:rsidR="00062F7A">
        <w:rPr>
          <w:rFonts w:ascii="Georgia" w:hAnsi="Georgia" w:cs="Georgia"/>
          <w:sz w:val="22"/>
          <w:szCs w:val="22"/>
          <w:shd w:val="clear" w:color="auto" w:fill="auto"/>
        </w:rPr>
        <w:t xml:space="preserve">, </w:t>
      </w:r>
      <w:r w:rsidR="00630321" w:rsidRPr="000509B7">
        <w:rPr>
          <w:rFonts w:ascii="Georgia" w:hAnsi="Georgia" w:cs="Georgia"/>
          <w:sz w:val="22"/>
          <w:szCs w:val="22"/>
          <w:shd w:val="clear" w:color="auto" w:fill="auto"/>
        </w:rPr>
        <w:t>Departamento de Proveeduría</w:t>
      </w:r>
    </w:p>
    <w:p w:rsidR="00B36EF8" w:rsidRPr="00F52616" w:rsidRDefault="007252A6" w:rsidP="00B36EF8">
      <w:pPr>
        <w:widowControl/>
        <w:ind w:left="1418" w:hanging="1418"/>
        <w:jc w:val="both"/>
        <w:rPr>
          <w:rFonts w:ascii="Georgia" w:hAnsi="Georgia" w:cs="Georgia"/>
          <w:sz w:val="22"/>
          <w:szCs w:val="22"/>
          <w:shd w:val="clear" w:color="auto" w:fill="auto"/>
        </w:rPr>
      </w:pPr>
      <w:r w:rsidRPr="00F52616">
        <w:rPr>
          <w:rFonts w:ascii="Georgia" w:hAnsi="Georgia" w:cs="Georgia"/>
          <w:b/>
          <w:bCs/>
          <w:sz w:val="22"/>
          <w:szCs w:val="22"/>
          <w:shd w:val="clear" w:color="auto" w:fill="auto"/>
        </w:rPr>
        <w:t>ASUNTO:</w:t>
      </w:r>
      <w:r w:rsidRPr="00F52616">
        <w:rPr>
          <w:rFonts w:ascii="Georgia" w:hAnsi="Georgia" w:cs="Georgia"/>
          <w:b/>
          <w:bCs/>
          <w:sz w:val="22"/>
          <w:szCs w:val="22"/>
          <w:shd w:val="clear" w:color="auto" w:fill="auto"/>
        </w:rPr>
        <w:tab/>
      </w:r>
      <w:r w:rsidR="000509B7">
        <w:rPr>
          <w:rFonts w:ascii="Georgia" w:hAnsi="Georgia" w:cs="Georgia"/>
          <w:sz w:val="22"/>
          <w:szCs w:val="22"/>
          <w:shd w:val="clear" w:color="auto" w:fill="auto"/>
        </w:rPr>
        <w:t>Directriz 011-MINAE</w:t>
      </w:r>
    </w:p>
    <w:p w:rsidR="007252A6" w:rsidRPr="00F52616" w:rsidRDefault="007252A6" w:rsidP="007252A6">
      <w:pPr>
        <w:widowControl/>
        <w:spacing w:line="360" w:lineRule="auto"/>
        <w:jc w:val="both"/>
        <w:rPr>
          <w:rFonts w:ascii="Georgia" w:hAnsi="Georgia" w:cs="Georgia"/>
          <w:sz w:val="22"/>
          <w:szCs w:val="22"/>
          <w:shd w:val="clear" w:color="auto" w:fill="auto"/>
        </w:rPr>
      </w:pPr>
      <w:r w:rsidRPr="00F52616">
        <w:rPr>
          <w:rFonts w:ascii="Georgia" w:hAnsi="Georgia" w:cs="Georgia"/>
          <w:b/>
          <w:bCs/>
          <w:sz w:val="22"/>
          <w:szCs w:val="22"/>
          <w:shd w:val="clear" w:color="auto" w:fill="auto"/>
        </w:rPr>
        <w:t>FECHA:</w:t>
      </w:r>
      <w:r w:rsidR="00180A60" w:rsidRPr="00F52616">
        <w:rPr>
          <w:rFonts w:ascii="Georgia" w:hAnsi="Georgia" w:cs="Georgia"/>
          <w:sz w:val="22"/>
          <w:szCs w:val="22"/>
          <w:shd w:val="clear" w:color="auto" w:fill="auto"/>
        </w:rPr>
        <w:tab/>
      </w:r>
      <w:r w:rsidR="00D16521">
        <w:rPr>
          <w:rFonts w:ascii="Georgia" w:hAnsi="Georgia" w:cs="Georgia"/>
          <w:sz w:val="22"/>
          <w:szCs w:val="22"/>
          <w:shd w:val="clear" w:color="auto" w:fill="auto"/>
        </w:rPr>
        <w:t>21</w:t>
      </w:r>
      <w:r w:rsidR="00180A60" w:rsidRPr="00F52616">
        <w:rPr>
          <w:rFonts w:ascii="Georgia" w:hAnsi="Georgia" w:cs="Georgia"/>
          <w:sz w:val="22"/>
          <w:szCs w:val="22"/>
          <w:shd w:val="clear" w:color="auto" w:fill="auto"/>
        </w:rPr>
        <w:t xml:space="preserve"> de octubre</w:t>
      </w:r>
      <w:r w:rsidRPr="00F52616">
        <w:rPr>
          <w:rFonts w:ascii="Georgia" w:hAnsi="Georgia" w:cs="Georgia"/>
          <w:sz w:val="22"/>
          <w:szCs w:val="22"/>
          <w:shd w:val="clear" w:color="auto" w:fill="auto"/>
        </w:rPr>
        <w:t xml:space="preserve"> de 2014</w:t>
      </w:r>
    </w:p>
    <w:p w:rsidR="00003634" w:rsidRPr="00F52616" w:rsidRDefault="005E7E1F" w:rsidP="00DF27FC">
      <w:pPr>
        <w:widowControl/>
        <w:rPr>
          <w:rFonts w:ascii="Georgia" w:hAnsi="Georgia" w:cs="Georgia"/>
          <w:sz w:val="22"/>
          <w:szCs w:val="22"/>
          <w:shd w:val="clear" w:color="auto" w:fill="auto"/>
        </w:rPr>
      </w:pPr>
      <w:r>
        <w:rPr>
          <w:rFonts w:ascii="Georgia" w:hAnsi="Georgia" w:cs="Georgia"/>
          <w:noProof/>
          <w:sz w:val="22"/>
          <w:szCs w:val="22"/>
          <w:shd w:val="clear" w:color="auto" w:fill="auto"/>
          <w:lang w:val="es-CR" w:eastAsia="es-CR"/>
        </w:rPr>
        <w:drawing>
          <wp:inline distT="0" distB="0" distL="0" distR="0">
            <wp:extent cx="5356860" cy="2070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56860" cy="207010"/>
                    </a:xfrm>
                    <a:prstGeom prst="rect">
                      <a:avLst/>
                    </a:prstGeom>
                    <a:noFill/>
                    <a:ln w="9525">
                      <a:noFill/>
                      <a:miter lim="800000"/>
                      <a:headEnd/>
                      <a:tailEnd/>
                    </a:ln>
                  </pic:spPr>
                </pic:pic>
              </a:graphicData>
            </a:graphic>
          </wp:inline>
        </w:drawing>
      </w:r>
    </w:p>
    <w:p w:rsidR="00184149" w:rsidRDefault="00184149" w:rsidP="00093034">
      <w:pPr>
        <w:tabs>
          <w:tab w:val="left" w:pos="1307"/>
        </w:tabs>
        <w:jc w:val="both"/>
        <w:rPr>
          <w:rFonts w:ascii="Georgia" w:hAnsi="Georgia" w:cs="Georgia"/>
          <w:sz w:val="22"/>
          <w:szCs w:val="22"/>
          <w:shd w:val="clear" w:color="auto" w:fill="auto"/>
        </w:rPr>
      </w:pPr>
    </w:p>
    <w:p w:rsidR="00495306" w:rsidRDefault="00184149" w:rsidP="00093034">
      <w:p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D</w:t>
      </w:r>
      <w:r w:rsidR="00B95F96">
        <w:rPr>
          <w:rFonts w:ascii="Georgia" w:hAnsi="Georgia" w:cs="Georgia"/>
          <w:sz w:val="22"/>
          <w:szCs w:val="22"/>
          <w:shd w:val="clear" w:color="auto" w:fill="auto"/>
        </w:rPr>
        <w:t>e conformidad con la Directriz 11-MINAE</w:t>
      </w:r>
      <w:r w:rsidR="001F1F4B">
        <w:rPr>
          <w:rFonts w:ascii="Georgia" w:hAnsi="Georgia" w:cs="Georgia"/>
          <w:sz w:val="22"/>
          <w:szCs w:val="22"/>
          <w:shd w:val="clear" w:color="auto" w:fill="auto"/>
        </w:rPr>
        <w:t xml:space="preserve"> dirigida a todas las Instituciones de la Administración Pública, </w:t>
      </w:r>
      <w:r>
        <w:rPr>
          <w:rFonts w:ascii="Georgia" w:hAnsi="Georgia" w:cs="Georgia"/>
          <w:sz w:val="22"/>
          <w:szCs w:val="22"/>
          <w:shd w:val="clear" w:color="auto" w:fill="auto"/>
        </w:rPr>
        <w:t>se hace imperativo observar las siguientes disposiciones</w:t>
      </w:r>
      <w:r w:rsidR="00F7198E">
        <w:rPr>
          <w:rFonts w:ascii="Georgia" w:hAnsi="Georgia" w:cs="Georgia"/>
          <w:sz w:val="22"/>
          <w:szCs w:val="22"/>
          <w:shd w:val="clear" w:color="auto" w:fill="auto"/>
        </w:rPr>
        <w:t xml:space="preserve"> con el objetivo de ponerlas en práctica para nuevas compras, adquisiciones o remodelaciones </w:t>
      </w:r>
      <w:r w:rsidR="00203FCA">
        <w:rPr>
          <w:rFonts w:ascii="Georgia" w:hAnsi="Georgia" w:cs="Georgia"/>
          <w:sz w:val="22"/>
          <w:szCs w:val="22"/>
          <w:shd w:val="clear" w:color="auto" w:fill="auto"/>
        </w:rPr>
        <w:t xml:space="preserve">futuras </w:t>
      </w:r>
      <w:r w:rsidR="00F7198E">
        <w:rPr>
          <w:rFonts w:ascii="Georgia" w:hAnsi="Georgia" w:cs="Georgia"/>
          <w:sz w:val="22"/>
          <w:szCs w:val="22"/>
          <w:shd w:val="clear" w:color="auto" w:fill="auto"/>
        </w:rPr>
        <w:t>a realizar</w:t>
      </w:r>
      <w:r>
        <w:rPr>
          <w:rFonts w:ascii="Georgia" w:hAnsi="Georgia" w:cs="Georgia"/>
          <w:sz w:val="22"/>
          <w:szCs w:val="22"/>
          <w:shd w:val="clear" w:color="auto" w:fill="auto"/>
        </w:rPr>
        <w:t xml:space="preserve">: </w:t>
      </w:r>
    </w:p>
    <w:p w:rsidR="00B15D33" w:rsidRDefault="00B15D33" w:rsidP="00093034">
      <w:pPr>
        <w:tabs>
          <w:tab w:val="left" w:pos="1307"/>
        </w:tabs>
        <w:jc w:val="both"/>
        <w:rPr>
          <w:rFonts w:ascii="Georgia" w:hAnsi="Georgia" w:cs="Georgia"/>
          <w:sz w:val="22"/>
          <w:szCs w:val="22"/>
          <w:shd w:val="clear" w:color="auto" w:fill="auto"/>
        </w:rPr>
      </w:pPr>
    </w:p>
    <w:p w:rsidR="00392CAD" w:rsidRDefault="00392CAD" w:rsidP="00093034">
      <w:p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Medidas Generales:</w:t>
      </w:r>
    </w:p>
    <w:p w:rsidR="001269F5" w:rsidRDefault="001269F5" w:rsidP="00093034">
      <w:pPr>
        <w:tabs>
          <w:tab w:val="left" w:pos="1307"/>
        </w:tabs>
        <w:jc w:val="both"/>
        <w:rPr>
          <w:rFonts w:ascii="Georgia" w:hAnsi="Georgia" w:cs="Georgia"/>
          <w:sz w:val="22"/>
          <w:szCs w:val="22"/>
          <w:shd w:val="clear" w:color="auto" w:fill="auto"/>
        </w:rPr>
      </w:pPr>
    </w:p>
    <w:p w:rsidR="00F52616" w:rsidRDefault="000575D5" w:rsidP="00F52616">
      <w:pPr>
        <w:numPr>
          <w:ilvl w:val="0"/>
          <w:numId w:val="2"/>
        </w:num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Regular las adquisiciones de equipos, luminarias y artefactos</w:t>
      </w:r>
      <w:r w:rsidR="001269F5">
        <w:rPr>
          <w:rFonts w:ascii="Georgia" w:hAnsi="Georgia" w:cs="Georgia"/>
          <w:sz w:val="22"/>
          <w:szCs w:val="22"/>
          <w:shd w:val="clear" w:color="auto" w:fill="auto"/>
        </w:rPr>
        <w:t xml:space="preserve"> con requerimientos de alta eficiencia energética.</w:t>
      </w:r>
    </w:p>
    <w:p w:rsidR="00F52616" w:rsidRPr="00F52616" w:rsidRDefault="00F52616" w:rsidP="00F52616">
      <w:pPr>
        <w:tabs>
          <w:tab w:val="left" w:pos="1307"/>
        </w:tabs>
        <w:jc w:val="both"/>
        <w:rPr>
          <w:rFonts w:ascii="Georgia" w:hAnsi="Georgia" w:cs="Georgia"/>
          <w:sz w:val="22"/>
          <w:szCs w:val="22"/>
          <w:shd w:val="clear" w:color="auto" w:fill="auto"/>
        </w:rPr>
      </w:pPr>
    </w:p>
    <w:p w:rsidR="00DC3550" w:rsidRDefault="00DC3550" w:rsidP="003A675E">
      <w:pPr>
        <w:numPr>
          <w:ilvl w:val="0"/>
          <w:numId w:val="2"/>
        </w:numPr>
        <w:tabs>
          <w:tab w:val="left" w:pos="1307"/>
        </w:tabs>
        <w:jc w:val="both"/>
        <w:rPr>
          <w:rFonts w:ascii="Georgia" w:hAnsi="Georgia" w:cs="Georgia"/>
          <w:sz w:val="22"/>
          <w:szCs w:val="22"/>
          <w:shd w:val="clear" w:color="auto" w:fill="auto"/>
        </w:rPr>
      </w:pPr>
      <w:r w:rsidRPr="00F52616">
        <w:rPr>
          <w:rFonts w:ascii="Georgia" w:hAnsi="Georgia" w:cs="Georgia"/>
          <w:sz w:val="22"/>
          <w:szCs w:val="22"/>
          <w:shd w:val="clear" w:color="auto" w:fill="auto"/>
        </w:rPr>
        <w:t>Contribuir con la reducción del consumo de energía, mediante mejoras de los hábitos de consumo, medidas de ahorro, la administración de su demanda, la revisión de las instalaciones eléctricas, la sustitución de equipos y artefactos ineficientes que provocan alto consumo de electricidad.</w:t>
      </w:r>
    </w:p>
    <w:p w:rsidR="00F52616" w:rsidRPr="00F52616" w:rsidRDefault="00F52616" w:rsidP="00F52616">
      <w:pPr>
        <w:tabs>
          <w:tab w:val="left" w:pos="1307"/>
        </w:tabs>
        <w:jc w:val="both"/>
        <w:rPr>
          <w:rFonts w:ascii="Georgia" w:hAnsi="Georgia" w:cs="Georgia"/>
          <w:sz w:val="22"/>
          <w:szCs w:val="22"/>
          <w:shd w:val="clear" w:color="auto" w:fill="auto"/>
        </w:rPr>
      </w:pPr>
    </w:p>
    <w:p w:rsidR="002F240D" w:rsidRDefault="001269F5" w:rsidP="00F52616">
      <w:pPr>
        <w:numPr>
          <w:ilvl w:val="0"/>
          <w:numId w:val="2"/>
        </w:num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Se prohíbe adquirir equipos, luminarias y artefactos de baja eficiencia que provoquen alto consumo de electricidad, dicha prohibición aplica a todas las nuevas compras.</w:t>
      </w:r>
    </w:p>
    <w:p w:rsidR="001269F5" w:rsidRDefault="001269F5" w:rsidP="001269F5">
      <w:pPr>
        <w:tabs>
          <w:tab w:val="left" w:pos="1307"/>
        </w:tabs>
        <w:jc w:val="both"/>
        <w:rPr>
          <w:rFonts w:ascii="Georgia" w:hAnsi="Georgia" w:cs="Georgia"/>
          <w:sz w:val="22"/>
          <w:szCs w:val="22"/>
          <w:shd w:val="clear" w:color="auto" w:fill="auto"/>
        </w:rPr>
      </w:pPr>
    </w:p>
    <w:p w:rsidR="001269F5" w:rsidRDefault="001269F5" w:rsidP="00F52616">
      <w:pPr>
        <w:numPr>
          <w:ilvl w:val="0"/>
          <w:numId w:val="2"/>
        </w:num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Solicitar</w:t>
      </w:r>
      <w:r w:rsidR="00184149">
        <w:rPr>
          <w:rFonts w:ascii="Georgia" w:hAnsi="Georgia" w:cs="Georgia"/>
          <w:sz w:val="22"/>
          <w:szCs w:val="22"/>
          <w:shd w:val="clear" w:color="auto" w:fill="auto"/>
        </w:rPr>
        <w:t>, como parte de</w:t>
      </w:r>
      <w:r>
        <w:rPr>
          <w:rFonts w:ascii="Georgia" w:hAnsi="Georgia" w:cs="Georgia"/>
          <w:sz w:val="22"/>
          <w:szCs w:val="22"/>
          <w:shd w:val="clear" w:color="auto" w:fill="auto"/>
        </w:rPr>
        <w:t xml:space="preserve"> las especificaciones</w:t>
      </w:r>
      <w:r w:rsidR="00184149">
        <w:rPr>
          <w:rFonts w:ascii="Georgia" w:hAnsi="Georgia" w:cs="Georgia"/>
          <w:sz w:val="22"/>
          <w:szCs w:val="22"/>
          <w:shd w:val="clear" w:color="auto" w:fill="auto"/>
        </w:rPr>
        <w:t xml:space="preserve"> técnicas que se incorporan en los procesos de compra,</w:t>
      </w:r>
      <w:r>
        <w:rPr>
          <w:rFonts w:ascii="Georgia" w:hAnsi="Georgia" w:cs="Georgia"/>
          <w:sz w:val="22"/>
          <w:szCs w:val="22"/>
          <w:shd w:val="clear" w:color="auto" w:fill="auto"/>
        </w:rPr>
        <w:t xml:space="preserve"> un certificado de producto emitido por un organismo de certificación acreditado o reconocido por el Ente Costarricense de Acreditación que demuestre el cumplimiento de los requisitos de eficiencia energética.</w:t>
      </w:r>
    </w:p>
    <w:p w:rsidR="00701C95" w:rsidRPr="00F52616" w:rsidRDefault="00701C95" w:rsidP="001269F5">
      <w:pPr>
        <w:tabs>
          <w:tab w:val="left" w:pos="1307"/>
        </w:tabs>
        <w:jc w:val="both"/>
        <w:rPr>
          <w:rFonts w:ascii="Georgia" w:hAnsi="Georgia" w:cs="Georgia"/>
          <w:sz w:val="22"/>
          <w:szCs w:val="22"/>
          <w:shd w:val="clear" w:color="auto" w:fill="auto"/>
        </w:rPr>
      </w:pPr>
    </w:p>
    <w:p w:rsidR="00701C95" w:rsidRDefault="00B15D33" w:rsidP="00701C95">
      <w:p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Equipos de Iluminación</w:t>
      </w:r>
      <w:r w:rsidR="00701C95" w:rsidRPr="00F52616">
        <w:rPr>
          <w:rFonts w:ascii="Georgia" w:hAnsi="Georgia" w:cs="Georgia"/>
          <w:sz w:val="22"/>
          <w:szCs w:val="22"/>
          <w:shd w:val="clear" w:color="auto" w:fill="auto"/>
        </w:rPr>
        <w:t xml:space="preserve">: </w:t>
      </w:r>
    </w:p>
    <w:p w:rsidR="00F52616" w:rsidRPr="00F52616" w:rsidRDefault="00F52616" w:rsidP="00701C95">
      <w:pPr>
        <w:tabs>
          <w:tab w:val="left" w:pos="1307"/>
        </w:tabs>
        <w:jc w:val="both"/>
        <w:rPr>
          <w:rFonts w:ascii="Georgia" w:hAnsi="Georgia" w:cs="Georgia"/>
          <w:sz w:val="22"/>
          <w:szCs w:val="22"/>
          <w:shd w:val="clear" w:color="auto" w:fill="auto"/>
        </w:rPr>
      </w:pPr>
    </w:p>
    <w:p w:rsidR="00701C95" w:rsidRPr="00C43309" w:rsidRDefault="00701C95" w:rsidP="00701C95">
      <w:pPr>
        <w:numPr>
          <w:ilvl w:val="0"/>
          <w:numId w:val="3"/>
        </w:numPr>
        <w:tabs>
          <w:tab w:val="left" w:pos="1307"/>
        </w:tabs>
        <w:jc w:val="both"/>
        <w:rPr>
          <w:rFonts w:ascii="Georgia" w:hAnsi="Georgia" w:cs="Georgia"/>
          <w:sz w:val="22"/>
          <w:szCs w:val="22"/>
          <w:shd w:val="clear" w:color="auto" w:fill="auto"/>
        </w:rPr>
      </w:pPr>
      <w:r w:rsidRPr="00C43309">
        <w:rPr>
          <w:rFonts w:ascii="Georgia" w:hAnsi="Georgia" w:cs="Georgia"/>
          <w:sz w:val="22"/>
          <w:szCs w:val="22"/>
          <w:shd w:val="clear" w:color="auto" w:fill="auto"/>
        </w:rPr>
        <w:t>Se prohíbe la</w:t>
      </w:r>
      <w:r w:rsidR="00316DFB" w:rsidRPr="00C43309">
        <w:rPr>
          <w:rFonts w:ascii="Georgia" w:hAnsi="Georgia" w:cs="Georgia"/>
          <w:sz w:val="22"/>
          <w:szCs w:val="22"/>
          <w:shd w:val="clear" w:color="auto" w:fill="auto"/>
        </w:rPr>
        <w:t>s nuevas</w:t>
      </w:r>
      <w:r w:rsidRPr="00C43309">
        <w:rPr>
          <w:rFonts w:ascii="Georgia" w:hAnsi="Georgia" w:cs="Georgia"/>
          <w:sz w:val="22"/>
          <w:szCs w:val="22"/>
          <w:shd w:val="clear" w:color="auto" w:fill="auto"/>
        </w:rPr>
        <w:t xml:space="preserve"> compra</w:t>
      </w:r>
      <w:r w:rsidR="00316DFB" w:rsidRPr="00C43309">
        <w:rPr>
          <w:rFonts w:ascii="Georgia" w:hAnsi="Georgia" w:cs="Georgia"/>
          <w:sz w:val="22"/>
          <w:szCs w:val="22"/>
          <w:shd w:val="clear" w:color="auto" w:fill="auto"/>
        </w:rPr>
        <w:t>s</w:t>
      </w:r>
      <w:r w:rsidRPr="00C43309">
        <w:rPr>
          <w:rFonts w:ascii="Georgia" w:hAnsi="Georgia" w:cs="Georgia"/>
          <w:sz w:val="22"/>
          <w:szCs w:val="22"/>
          <w:shd w:val="clear" w:color="auto" w:fill="auto"/>
        </w:rPr>
        <w:t xml:space="preserve"> de lámparas incandescentes</w:t>
      </w:r>
      <w:r w:rsidR="00316DFB" w:rsidRPr="00C43309">
        <w:rPr>
          <w:rFonts w:ascii="Georgia" w:hAnsi="Georgia" w:cs="Georgia"/>
          <w:sz w:val="22"/>
          <w:szCs w:val="22"/>
          <w:shd w:val="clear" w:color="auto" w:fill="auto"/>
        </w:rPr>
        <w:t>,</w:t>
      </w:r>
      <w:r w:rsidRPr="00C43309">
        <w:rPr>
          <w:rFonts w:ascii="Georgia" w:hAnsi="Georgia" w:cs="Georgia"/>
          <w:sz w:val="22"/>
          <w:szCs w:val="22"/>
          <w:shd w:val="clear" w:color="auto" w:fill="auto"/>
        </w:rPr>
        <w:t xml:space="preserve"> fluorescentes tubulares T-12 y balastros para lámparas </w:t>
      </w:r>
      <w:r w:rsidR="00643F79" w:rsidRPr="00C43309">
        <w:rPr>
          <w:rFonts w:ascii="Georgia" w:hAnsi="Georgia" w:cs="Georgia"/>
          <w:sz w:val="22"/>
          <w:szCs w:val="22"/>
          <w:shd w:val="clear" w:color="auto" w:fill="auto"/>
        </w:rPr>
        <w:t>tubulares T-12, lámparas alógenas, luz mixta y vapor de mercurio.</w:t>
      </w:r>
    </w:p>
    <w:p w:rsidR="001269F5" w:rsidRPr="00F52616" w:rsidRDefault="001269F5" w:rsidP="001269F5">
      <w:pPr>
        <w:tabs>
          <w:tab w:val="left" w:pos="1307"/>
        </w:tabs>
        <w:ind w:left="360"/>
        <w:jc w:val="both"/>
        <w:rPr>
          <w:rFonts w:ascii="Georgia" w:hAnsi="Georgia" w:cs="Georgia"/>
          <w:sz w:val="22"/>
          <w:szCs w:val="22"/>
          <w:shd w:val="clear" w:color="auto" w:fill="auto"/>
        </w:rPr>
      </w:pPr>
    </w:p>
    <w:p w:rsidR="00810075" w:rsidRDefault="00810075" w:rsidP="00701C95">
      <w:pPr>
        <w:numPr>
          <w:ilvl w:val="0"/>
          <w:numId w:val="3"/>
        </w:numPr>
        <w:tabs>
          <w:tab w:val="left" w:pos="1307"/>
        </w:tabs>
        <w:jc w:val="both"/>
        <w:rPr>
          <w:rFonts w:ascii="Georgia" w:hAnsi="Georgia" w:cs="Georgia"/>
          <w:sz w:val="22"/>
          <w:szCs w:val="22"/>
          <w:shd w:val="clear" w:color="auto" w:fill="auto"/>
        </w:rPr>
      </w:pPr>
      <w:r w:rsidRPr="00F52616">
        <w:rPr>
          <w:rFonts w:ascii="Georgia" w:hAnsi="Georgia" w:cs="Georgia"/>
          <w:sz w:val="22"/>
          <w:szCs w:val="22"/>
          <w:shd w:val="clear" w:color="auto" w:fill="auto"/>
        </w:rPr>
        <w:t>Para la iluminación de oficinas se utilizarán sistemas compuestos por fluorescentes tubulares o tubos LED con una eficacia lumínica igual  o mayor a 80</w:t>
      </w:r>
      <w:r w:rsidR="00B437A5">
        <w:rPr>
          <w:rFonts w:ascii="Georgia" w:hAnsi="Georgia" w:cs="Georgia"/>
          <w:sz w:val="22"/>
          <w:szCs w:val="22"/>
          <w:shd w:val="clear" w:color="auto" w:fill="auto"/>
        </w:rPr>
        <w:t xml:space="preserve"> </w:t>
      </w:r>
      <w:r w:rsidRPr="00F52616">
        <w:rPr>
          <w:rFonts w:ascii="Georgia" w:hAnsi="Georgia" w:cs="Georgia"/>
          <w:sz w:val="22"/>
          <w:szCs w:val="22"/>
          <w:shd w:val="clear" w:color="auto" w:fill="auto"/>
        </w:rPr>
        <w:t>lm/W y balastros electrónicos de alta eficiencia.</w:t>
      </w:r>
    </w:p>
    <w:p w:rsidR="001269F5" w:rsidRPr="00F52616" w:rsidRDefault="001269F5" w:rsidP="001269F5">
      <w:pPr>
        <w:tabs>
          <w:tab w:val="left" w:pos="1307"/>
        </w:tabs>
        <w:jc w:val="both"/>
        <w:rPr>
          <w:rFonts w:ascii="Georgia" w:hAnsi="Georgia" w:cs="Georgia"/>
          <w:sz w:val="22"/>
          <w:szCs w:val="22"/>
          <w:shd w:val="clear" w:color="auto" w:fill="auto"/>
        </w:rPr>
      </w:pPr>
    </w:p>
    <w:p w:rsidR="00810075" w:rsidRDefault="00810075" w:rsidP="00701C95">
      <w:pPr>
        <w:numPr>
          <w:ilvl w:val="0"/>
          <w:numId w:val="3"/>
        </w:numPr>
        <w:tabs>
          <w:tab w:val="left" w:pos="1307"/>
        </w:tabs>
        <w:jc w:val="both"/>
        <w:rPr>
          <w:rFonts w:ascii="Georgia" w:hAnsi="Georgia" w:cs="Georgia"/>
          <w:sz w:val="22"/>
          <w:szCs w:val="22"/>
          <w:shd w:val="clear" w:color="auto" w:fill="auto"/>
        </w:rPr>
      </w:pPr>
      <w:r w:rsidRPr="00F52616">
        <w:rPr>
          <w:rFonts w:ascii="Georgia" w:hAnsi="Georgia" w:cs="Georgia"/>
          <w:sz w:val="22"/>
          <w:szCs w:val="22"/>
          <w:shd w:val="clear" w:color="auto" w:fill="auto"/>
        </w:rPr>
        <w:t>Para el caso de lámparas fluorescentes compactas, el nivel mínimo de eficacia lumínica declarado en las etiquetas energéticas, deberá cumplir con los lineamientos de la norma INTE 28-01-07 en su versión vigente.</w:t>
      </w:r>
    </w:p>
    <w:p w:rsidR="00D12534" w:rsidRDefault="00D12534" w:rsidP="00D12534">
      <w:pPr>
        <w:tabs>
          <w:tab w:val="left" w:pos="1307"/>
        </w:tabs>
        <w:jc w:val="both"/>
        <w:rPr>
          <w:rFonts w:ascii="Georgia" w:hAnsi="Georgia" w:cs="Georgia"/>
          <w:sz w:val="22"/>
          <w:szCs w:val="22"/>
          <w:shd w:val="clear" w:color="auto" w:fill="auto"/>
        </w:rPr>
      </w:pPr>
    </w:p>
    <w:p w:rsidR="00D12534" w:rsidRPr="00F52616" w:rsidRDefault="00D12534" w:rsidP="00D12534">
      <w:pPr>
        <w:tabs>
          <w:tab w:val="left" w:pos="1307"/>
        </w:tabs>
        <w:ind w:left="360"/>
        <w:jc w:val="both"/>
        <w:rPr>
          <w:rFonts w:ascii="Georgia" w:hAnsi="Georgia" w:cs="Georgia"/>
          <w:sz w:val="22"/>
          <w:szCs w:val="22"/>
          <w:shd w:val="clear" w:color="auto" w:fill="auto"/>
        </w:rPr>
      </w:pPr>
    </w:p>
    <w:p w:rsidR="00810075" w:rsidRDefault="00810075" w:rsidP="00701C95">
      <w:pPr>
        <w:numPr>
          <w:ilvl w:val="0"/>
          <w:numId w:val="3"/>
        </w:numPr>
        <w:tabs>
          <w:tab w:val="left" w:pos="1307"/>
        </w:tabs>
        <w:jc w:val="both"/>
        <w:rPr>
          <w:rFonts w:ascii="Georgia" w:hAnsi="Georgia" w:cs="Georgia"/>
          <w:sz w:val="22"/>
          <w:szCs w:val="22"/>
          <w:shd w:val="clear" w:color="auto" w:fill="auto"/>
        </w:rPr>
      </w:pPr>
      <w:r w:rsidRPr="00F52616">
        <w:rPr>
          <w:rFonts w:ascii="Georgia" w:hAnsi="Georgia" w:cs="Georgia"/>
          <w:sz w:val="22"/>
          <w:szCs w:val="22"/>
          <w:shd w:val="clear" w:color="auto" w:fill="auto"/>
        </w:rPr>
        <w:t xml:space="preserve">Para alumbrado exterior, tránsito peatonal y áreas de uso general tales como </w:t>
      </w:r>
      <w:r w:rsidRPr="00F52616">
        <w:rPr>
          <w:rFonts w:ascii="Georgia" w:hAnsi="Georgia" w:cs="Georgia"/>
          <w:sz w:val="22"/>
          <w:szCs w:val="22"/>
          <w:shd w:val="clear" w:color="auto" w:fill="auto"/>
        </w:rPr>
        <w:lastRenderedPageBreak/>
        <w:t xml:space="preserve">talleres, bodegas, almacenes y otros, se deberán utilizar tecnologías de haluro metálico, vapor de sodio de alta presión tecnología LED </w:t>
      </w:r>
      <w:r w:rsidR="00F52616" w:rsidRPr="00F52616">
        <w:rPr>
          <w:rFonts w:ascii="Georgia" w:hAnsi="Georgia" w:cs="Georgia"/>
          <w:sz w:val="22"/>
          <w:szCs w:val="22"/>
          <w:shd w:val="clear" w:color="auto" w:fill="auto"/>
        </w:rPr>
        <w:t>tubos fluorescentes T-8 u otras, todas con eficacias lumínicas igual o mayor a 80 lm/W.</w:t>
      </w:r>
    </w:p>
    <w:p w:rsidR="001269F5" w:rsidRDefault="001269F5" w:rsidP="001269F5">
      <w:pPr>
        <w:tabs>
          <w:tab w:val="left" w:pos="1307"/>
        </w:tabs>
        <w:ind w:left="360"/>
        <w:jc w:val="both"/>
        <w:rPr>
          <w:rFonts w:ascii="Georgia" w:hAnsi="Georgia" w:cs="Georgia"/>
          <w:sz w:val="22"/>
          <w:szCs w:val="22"/>
          <w:shd w:val="clear" w:color="auto" w:fill="auto"/>
        </w:rPr>
      </w:pPr>
    </w:p>
    <w:p w:rsidR="00F52616" w:rsidRDefault="00F52616" w:rsidP="00334D72">
      <w:p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Equipos de Refrigeración Electrodomésticos:</w:t>
      </w:r>
    </w:p>
    <w:p w:rsidR="00F52616" w:rsidRDefault="00F52616" w:rsidP="00F52616">
      <w:pPr>
        <w:tabs>
          <w:tab w:val="left" w:pos="1307"/>
        </w:tabs>
        <w:ind w:left="360"/>
        <w:jc w:val="both"/>
        <w:rPr>
          <w:rFonts w:ascii="Georgia" w:hAnsi="Georgia" w:cs="Georgia"/>
          <w:sz w:val="22"/>
          <w:szCs w:val="22"/>
          <w:shd w:val="clear" w:color="auto" w:fill="auto"/>
        </w:rPr>
      </w:pPr>
    </w:p>
    <w:p w:rsidR="00F52616" w:rsidRDefault="00B437A5" w:rsidP="00F52616">
      <w:pPr>
        <w:numPr>
          <w:ilvl w:val="0"/>
          <w:numId w:val="4"/>
        </w:num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Los valores máximos de consumo anual deberán ser menores en al menos un 5% a los declarados en las etiquetas energéticas, de conformidad con lo establecido en la última versión de la norma INTE 28-01-04: Eficiencia Energética  de Refrigeradores, Electrodomésticos – Límites máximos de consumo de energía.</w:t>
      </w:r>
    </w:p>
    <w:p w:rsidR="00B437A5" w:rsidRDefault="00B437A5" w:rsidP="00B437A5">
      <w:pPr>
        <w:tabs>
          <w:tab w:val="left" w:pos="1307"/>
        </w:tabs>
        <w:jc w:val="both"/>
        <w:rPr>
          <w:rFonts w:ascii="Georgia" w:hAnsi="Georgia" w:cs="Georgia"/>
          <w:sz w:val="22"/>
          <w:szCs w:val="22"/>
          <w:shd w:val="clear" w:color="auto" w:fill="auto"/>
        </w:rPr>
      </w:pPr>
    </w:p>
    <w:p w:rsidR="00B437A5" w:rsidRDefault="00B437A5" w:rsidP="00392CAD">
      <w:p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Equipos de Refrigeración Comerciales:</w:t>
      </w:r>
    </w:p>
    <w:p w:rsidR="00B437A5" w:rsidRDefault="00B437A5" w:rsidP="00B437A5">
      <w:pPr>
        <w:tabs>
          <w:tab w:val="left" w:pos="1307"/>
        </w:tabs>
        <w:jc w:val="both"/>
        <w:rPr>
          <w:rFonts w:ascii="Georgia" w:hAnsi="Georgia" w:cs="Georgia"/>
          <w:sz w:val="22"/>
          <w:szCs w:val="22"/>
          <w:shd w:val="clear" w:color="auto" w:fill="auto"/>
        </w:rPr>
      </w:pPr>
    </w:p>
    <w:p w:rsidR="00B437A5" w:rsidRDefault="00B437A5" w:rsidP="00B437A5">
      <w:pPr>
        <w:numPr>
          <w:ilvl w:val="0"/>
          <w:numId w:val="4"/>
        </w:num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Los valores máximos de consumo anual deberán ser menores en al menos un 5% a los declarados en las etiquetas energéticas, de conformidad con lo establecido en la última versión de la norma INTE 28-01-0</w:t>
      </w:r>
      <w:r w:rsidR="00846054">
        <w:rPr>
          <w:rFonts w:ascii="Georgia" w:hAnsi="Georgia" w:cs="Georgia"/>
          <w:sz w:val="22"/>
          <w:szCs w:val="22"/>
          <w:shd w:val="clear" w:color="auto" w:fill="auto"/>
        </w:rPr>
        <w:t>1</w:t>
      </w:r>
      <w:r>
        <w:rPr>
          <w:rFonts w:ascii="Georgia" w:hAnsi="Georgia" w:cs="Georgia"/>
          <w:sz w:val="22"/>
          <w:szCs w:val="22"/>
          <w:shd w:val="clear" w:color="auto" w:fill="auto"/>
        </w:rPr>
        <w:t>: Eficiencia energética para equipos de refrigeración comercial auto contenidos  - límites de los valores de consumo.</w:t>
      </w:r>
    </w:p>
    <w:p w:rsidR="00F52616" w:rsidRDefault="00F52616" w:rsidP="00F52616">
      <w:pPr>
        <w:tabs>
          <w:tab w:val="left" w:pos="1307"/>
        </w:tabs>
        <w:jc w:val="both"/>
        <w:rPr>
          <w:rFonts w:ascii="Georgia" w:hAnsi="Georgia" w:cs="Georgia"/>
          <w:sz w:val="22"/>
          <w:szCs w:val="22"/>
          <w:shd w:val="clear" w:color="auto" w:fill="auto"/>
        </w:rPr>
      </w:pPr>
    </w:p>
    <w:p w:rsidR="00F52616" w:rsidRDefault="00F52616" w:rsidP="00392CAD">
      <w:p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Equipos de Aires Acondicionados:</w:t>
      </w:r>
    </w:p>
    <w:p w:rsidR="00F52616" w:rsidRDefault="00F52616" w:rsidP="00F52616">
      <w:pPr>
        <w:tabs>
          <w:tab w:val="left" w:pos="1307"/>
        </w:tabs>
        <w:ind w:left="426"/>
        <w:jc w:val="both"/>
        <w:rPr>
          <w:rFonts w:ascii="Georgia" w:hAnsi="Georgia" w:cs="Georgia"/>
          <w:sz w:val="22"/>
          <w:szCs w:val="22"/>
          <w:shd w:val="clear" w:color="auto" w:fill="auto"/>
        </w:rPr>
      </w:pPr>
    </w:p>
    <w:p w:rsidR="00F52616" w:rsidRDefault="00F52616" w:rsidP="00F52616">
      <w:pPr>
        <w:numPr>
          <w:ilvl w:val="0"/>
          <w:numId w:val="4"/>
        </w:num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 xml:space="preserve">Se incluyen en esta categoría los equipos de aire acondicionados tipo ventana, dividido o central </w:t>
      </w:r>
      <w:r w:rsidR="00F829D0">
        <w:rPr>
          <w:rFonts w:ascii="Georgia" w:hAnsi="Georgia" w:cs="Georgia"/>
          <w:sz w:val="22"/>
          <w:szCs w:val="22"/>
          <w:shd w:val="clear" w:color="auto" w:fill="auto"/>
        </w:rPr>
        <w:t>de hasta 18 kw (30.000BTU/h)</w:t>
      </w:r>
      <w:r w:rsidR="001269F5">
        <w:rPr>
          <w:rFonts w:ascii="Georgia" w:hAnsi="Georgia" w:cs="Georgia"/>
          <w:sz w:val="22"/>
          <w:szCs w:val="22"/>
          <w:shd w:val="clear" w:color="auto" w:fill="auto"/>
        </w:rPr>
        <w:t>.</w:t>
      </w:r>
    </w:p>
    <w:p w:rsidR="001269F5" w:rsidRDefault="001269F5" w:rsidP="001269F5">
      <w:pPr>
        <w:tabs>
          <w:tab w:val="left" w:pos="1307"/>
        </w:tabs>
        <w:ind w:left="426"/>
        <w:jc w:val="both"/>
        <w:rPr>
          <w:rFonts w:ascii="Georgia" w:hAnsi="Georgia" w:cs="Georgia"/>
          <w:sz w:val="22"/>
          <w:szCs w:val="22"/>
          <w:shd w:val="clear" w:color="auto" w:fill="auto"/>
        </w:rPr>
      </w:pPr>
    </w:p>
    <w:p w:rsidR="00150E27" w:rsidRDefault="00846054" w:rsidP="00F52616">
      <w:pPr>
        <w:numPr>
          <w:ilvl w:val="0"/>
          <w:numId w:val="4"/>
        </w:num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Los rangos de eficiencia, deberán ser mayores en al menos  2 unidades de los indicados por la Relación de Eficiencia Energética (REE) O EN INGLÉS Energy Efficiency</w:t>
      </w:r>
      <w:r w:rsidR="00852CAE">
        <w:rPr>
          <w:rFonts w:ascii="Georgia" w:hAnsi="Georgia" w:cs="Georgia"/>
          <w:sz w:val="22"/>
          <w:szCs w:val="22"/>
          <w:shd w:val="clear" w:color="auto" w:fill="auto"/>
        </w:rPr>
        <w:t xml:space="preserve"> </w:t>
      </w:r>
      <w:r>
        <w:rPr>
          <w:rFonts w:ascii="Georgia" w:hAnsi="Georgia" w:cs="Georgia"/>
          <w:sz w:val="22"/>
          <w:szCs w:val="22"/>
          <w:shd w:val="clear" w:color="auto" w:fill="auto"/>
        </w:rPr>
        <w:t>Ratio (EER) declarados en las etiquetas energéticas, de conformidad con lo establecido en la última versión de la norma INTE 28-01-13</w:t>
      </w:r>
      <w:r w:rsidR="00852CAE">
        <w:rPr>
          <w:rFonts w:ascii="Georgia" w:hAnsi="Georgia" w:cs="Georgia"/>
          <w:sz w:val="22"/>
          <w:szCs w:val="22"/>
          <w:shd w:val="clear" w:color="auto" w:fill="auto"/>
        </w:rPr>
        <w:t>. Eficiencia energética – Acondicionadores de aires tipo ventana, dividido y paquete – Rangos de eficiencia energética</w:t>
      </w:r>
      <w:r w:rsidR="00BE1E21">
        <w:rPr>
          <w:rFonts w:ascii="Georgia" w:hAnsi="Georgia" w:cs="Georgia"/>
          <w:sz w:val="22"/>
          <w:szCs w:val="22"/>
          <w:shd w:val="clear" w:color="auto" w:fill="auto"/>
        </w:rPr>
        <w:t>.</w:t>
      </w:r>
    </w:p>
    <w:p w:rsidR="002F14A2" w:rsidRDefault="002F14A2" w:rsidP="002F14A2">
      <w:pPr>
        <w:tabs>
          <w:tab w:val="left" w:pos="1307"/>
        </w:tabs>
        <w:jc w:val="both"/>
        <w:rPr>
          <w:rFonts w:ascii="Georgia" w:hAnsi="Georgia" w:cs="Georgia"/>
          <w:sz w:val="22"/>
          <w:szCs w:val="22"/>
          <w:shd w:val="clear" w:color="auto" w:fill="auto"/>
        </w:rPr>
      </w:pPr>
    </w:p>
    <w:p w:rsidR="002F14A2" w:rsidRDefault="002F14A2" w:rsidP="00F52616">
      <w:pPr>
        <w:numPr>
          <w:ilvl w:val="0"/>
          <w:numId w:val="4"/>
        </w:num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 xml:space="preserve">El tipo de refrigerante utilizado por los equipos de refrigeración domésticos, comerciales y de aire acondicionado deberá ajustarse a las disposiciones contenidas en el Reglamento Nº 35676-S-H-MAG-MINAET y en el reglamento 37614-MINAE. Preferiblemente se deberán utilizar gases refrigerantes </w:t>
      </w:r>
      <w:r w:rsidR="00BB6BDB">
        <w:rPr>
          <w:rFonts w:ascii="Georgia" w:hAnsi="Georgia" w:cs="Georgia"/>
          <w:sz w:val="22"/>
          <w:szCs w:val="22"/>
          <w:shd w:val="clear" w:color="auto" w:fill="auto"/>
        </w:rPr>
        <w:t>naturales,</w:t>
      </w:r>
      <w:r>
        <w:rPr>
          <w:rFonts w:ascii="Georgia" w:hAnsi="Georgia" w:cs="Georgia"/>
          <w:sz w:val="22"/>
          <w:szCs w:val="22"/>
          <w:shd w:val="clear" w:color="auto" w:fill="auto"/>
        </w:rPr>
        <w:t xml:space="preserve"> con un potencial de calentamiento global (PCG) menor a 20.</w:t>
      </w:r>
    </w:p>
    <w:p w:rsidR="00BE1E21" w:rsidRDefault="00BE1E21" w:rsidP="00BE1E21">
      <w:pPr>
        <w:tabs>
          <w:tab w:val="left" w:pos="1307"/>
        </w:tabs>
        <w:jc w:val="both"/>
        <w:rPr>
          <w:rFonts w:ascii="Georgia" w:hAnsi="Georgia" w:cs="Georgia"/>
          <w:sz w:val="22"/>
          <w:szCs w:val="22"/>
          <w:shd w:val="clear" w:color="auto" w:fill="auto"/>
        </w:rPr>
      </w:pPr>
    </w:p>
    <w:p w:rsidR="00BE1E21" w:rsidRDefault="00BE1E21" w:rsidP="00BE1E21">
      <w:pPr>
        <w:tabs>
          <w:tab w:val="left" w:pos="1307"/>
        </w:tabs>
        <w:jc w:val="both"/>
        <w:rPr>
          <w:rFonts w:ascii="Georgia" w:hAnsi="Georgia" w:cs="Georgia"/>
          <w:sz w:val="22"/>
          <w:szCs w:val="22"/>
          <w:shd w:val="clear" w:color="auto" w:fill="auto"/>
        </w:rPr>
      </w:pPr>
      <w:r>
        <w:rPr>
          <w:rFonts w:ascii="Georgia" w:hAnsi="Georgia" w:cs="Georgia"/>
          <w:sz w:val="22"/>
          <w:szCs w:val="22"/>
          <w:shd w:val="clear" w:color="auto" w:fill="auto"/>
        </w:rPr>
        <w:t>Las lámparas, fluorescentes y demás equipos que sean reemplazadas por efecto de la aplicación de la presente directriz, no podrán ser utilizados, ni donados y deberán tener una adecuada disposición final considerando para ella lo contemplado en la Ley para la Gestión Integral de Residuos.</w:t>
      </w:r>
    </w:p>
    <w:p w:rsidR="002A1E38" w:rsidRDefault="002A1E38" w:rsidP="002A1E38">
      <w:pPr>
        <w:tabs>
          <w:tab w:val="left" w:pos="1307"/>
        </w:tabs>
        <w:jc w:val="both"/>
        <w:rPr>
          <w:rFonts w:ascii="Georgia" w:hAnsi="Georgia" w:cs="Georgia"/>
          <w:sz w:val="22"/>
          <w:szCs w:val="22"/>
          <w:shd w:val="clear" w:color="auto" w:fill="auto"/>
        </w:rPr>
      </w:pPr>
    </w:p>
    <w:p w:rsidR="00F52616" w:rsidRPr="00F52616" w:rsidRDefault="00F52616" w:rsidP="00F52616">
      <w:pPr>
        <w:tabs>
          <w:tab w:val="left" w:pos="1307"/>
        </w:tabs>
        <w:jc w:val="both"/>
        <w:rPr>
          <w:rFonts w:ascii="Georgia" w:hAnsi="Georgia" w:cs="Georgia"/>
          <w:sz w:val="22"/>
          <w:szCs w:val="22"/>
          <w:shd w:val="clear" w:color="auto" w:fill="auto"/>
        </w:rPr>
      </w:pPr>
    </w:p>
    <w:p w:rsidR="00AD3CBB" w:rsidRPr="00F52616" w:rsidRDefault="00AD3CBB" w:rsidP="00865838">
      <w:pPr>
        <w:rPr>
          <w:rFonts w:ascii="Georgia" w:hAnsi="Georgia" w:cs="Georgia"/>
          <w:sz w:val="22"/>
          <w:szCs w:val="22"/>
          <w:shd w:val="clear" w:color="auto" w:fill="auto"/>
        </w:rPr>
      </w:pPr>
      <w:r w:rsidRPr="00F52616">
        <w:rPr>
          <w:rFonts w:ascii="Georgia" w:hAnsi="Georgia" w:cs="Georgia"/>
          <w:sz w:val="22"/>
          <w:szCs w:val="22"/>
          <w:shd w:val="clear" w:color="auto" w:fill="auto"/>
        </w:rPr>
        <w:t>AERJ/Melissa H.</w:t>
      </w:r>
    </w:p>
    <w:sectPr w:rsidR="00AD3CBB" w:rsidRPr="00F52616">
      <w:pgSz w:w="11908" w:h="16833"/>
      <w:pgMar w:top="1417" w:right="1700" w:bottom="1417" w:left="17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421"/>
    <w:multiLevelType w:val="multilevel"/>
    <w:tmpl w:val="E70666B6"/>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1">
    <w:nsid w:val="0CA65CA4"/>
    <w:multiLevelType w:val="hybridMultilevel"/>
    <w:tmpl w:val="A18CF36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A5949F7"/>
    <w:multiLevelType w:val="hybridMultilevel"/>
    <w:tmpl w:val="98A696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400955C1"/>
    <w:multiLevelType w:val="hybridMultilevel"/>
    <w:tmpl w:val="08A2728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557360D5"/>
    <w:multiLevelType w:val="multilevel"/>
    <w:tmpl w:val="08A272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B6711A"/>
    <w:multiLevelType w:val="hybridMultilevel"/>
    <w:tmpl w:val="E70666B6"/>
    <w:lvl w:ilvl="0" w:tplc="0C0A0001">
      <w:start w:val="1"/>
      <w:numFmt w:val="bullet"/>
      <w:lvlText w:val=""/>
      <w:lvlJc w:val="left"/>
      <w:pPr>
        <w:tabs>
          <w:tab w:val="num" w:pos="786"/>
        </w:tabs>
        <w:ind w:left="786" w:hanging="360"/>
      </w:pPr>
      <w:rPr>
        <w:rFonts w:ascii="Symbol" w:hAnsi="Symbol" w:cs="Symbol" w:hint="default"/>
      </w:rPr>
    </w:lvl>
    <w:lvl w:ilvl="1" w:tplc="0C0A0003">
      <w:start w:val="1"/>
      <w:numFmt w:val="bullet"/>
      <w:lvlText w:val="o"/>
      <w:lvlJc w:val="left"/>
      <w:pPr>
        <w:tabs>
          <w:tab w:val="num" w:pos="1506"/>
        </w:tabs>
        <w:ind w:left="1506" w:hanging="360"/>
      </w:pPr>
      <w:rPr>
        <w:rFonts w:ascii="Courier New" w:hAnsi="Courier New" w:cs="Courier New" w:hint="default"/>
      </w:rPr>
    </w:lvl>
    <w:lvl w:ilvl="2" w:tplc="0C0A0005">
      <w:start w:val="1"/>
      <w:numFmt w:val="bullet"/>
      <w:lvlText w:val=""/>
      <w:lvlJc w:val="left"/>
      <w:pPr>
        <w:tabs>
          <w:tab w:val="num" w:pos="2226"/>
        </w:tabs>
        <w:ind w:left="2226" w:hanging="360"/>
      </w:pPr>
      <w:rPr>
        <w:rFonts w:ascii="Wingdings" w:hAnsi="Wingdings" w:cs="Wingdings" w:hint="default"/>
      </w:rPr>
    </w:lvl>
    <w:lvl w:ilvl="3" w:tplc="0C0A0001">
      <w:start w:val="1"/>
      <w:numFmt w:val="bullet"/>
      <w:lvlText w:val=""/>
      <w:lvlJc w:val="left"/>
      <w:pPr>
        <w:tabs>
          <w:tab w:val="num" w:pos="2946"/>
        </w:tabs>
        <w:ind w:left="2946" w:hanging="360"/>
      </w:pPr>
      <w:rPr>
        <w:rFonts w:ascii="Symbol" w:hAnsi="Symbol" w:cs="Symbol" w:hint="default"/>
      </w:rPr>
    </w:lvl>
    <w:lvl w:ilvl="4" w:tplc="0C0A0003">
      <w:start w:val="1"/>
      <w:numFmt w:val="bullet"/>
      <w:lvlText w:val="o"/>
      <w:lvlJc w:val="left"/>
      <w:pPr>
        <w:tabs>
          <w:tab w:val="num" w:pos="3666"/>
        </w:tabs>
        <w:ind w:left="3666" w:hanging="360"/>
      </w:pPr>
      <w:rPr>
        <w:rFonts w:ascii="Courier New" w:hAnsi="Courier New" w:cs="Courier New" w:hint="default"/>
      </w:rPr>
    </w:lvl>
    <w:lvl w:ilvl="5" w:tplc="0C0A0005">
      <w:start w:val="1"/>
      <w:numFmt w:val="bullet"/>
      <w:lvlText w:val=""/>
      <w:lvlJc w:val="left"/>
      <w:pPr>
        <w:tabs>
          <w:tab w:val="num" w:pos="4386"/>
        </w:tabs>
        <w:ind w:left="4386" w:hanging="360"/>
      </w:pPr>
      <w:rPr>
        <w:rFonts w:ascii="Wingdings" w:hAnsi="Wingdings" w:cs="Wingdings" w:hint="default"/>
      </w:rPr>
    </w:lvl>
    <w:lvl w:ilvl="6" w:tplc="0C0A0001">
      <w:start w:val="1"/>
      <w:numFmt w:val="bullet"/>
      <w:lvlText w:val=""/>
      <w:lvlJc w:val="left"/>
      <w:pPr>
        <w:tabs>
          <w:tab w:val="num" w:pos="5106"/>
        </w:tabs>
        <w:ind w:left="5106" w:hanging="360"/>
      </w:pPr>
      <w:rPr>
        <w:rFonts w:ascii="Symbol" w:hAnsi="Symbol" w:cs="Symbol" w:hint="default"/>
      </w:rPr>
    </w:lvl>
    <w:lvl w:ilvl="7" w:tplc="0C0A0003">
      <w:start w:val="1"/>
      <w:numFmt w:val="bullet"/>
      <w:lvlText w:val="o"/>
      <w:lvlJc w:val="left"/>
      <w:pPr>
        <w:tabs>
          <w:tab w:val="num" w:pos="5826"/>
        </w:tabs>
        <w:ind w:left="5826" w:hanging="360"/>
      </w:pPr>
      <w:rPr>
        <w:rFonts w:ascii="Courier New" w:hAnsi="Courier New" w:cs="Courier New" w:hint="default"/>
      </w:rPr>
    </w:lvl>
    <w:lvl w:ilvl="8" w:tplc="0C0A0005">
      <w:start w:val="1"/>
      <w:numFmt w:val="bullet"/>
      <w:lvlText w:val=""/>
      <w:lvlJc w:val="left"/>
      <w:pPr>
        <w:tabs>
          <w:tab w:val="num" w:pos="6546"/>
        </w:tabs>
        <w:ind w:left="6546" w:hanging="360"/>
      </w:pPr>
      <w:rPr>
        <w:rFonts w:ascii="Wingdings" w:hAnsi="Wingdings" w:cs="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F90877"/>
    <w:rsid w:val="00003634"/>
    <w:rsid w:val="000509B7"/>
    <w:rsid w:val="000575D5"/>
    <w:rsid w:val="00062F7A"/>
    <w:rsid w:val="000760C1"/>
    <w:rsid w:val="00084D69"/>
    <w:rsid w:val="00093034"/>
    <w:rsid w:val="000E1C68"/>
    <w:rsid w:val="00105245"/>
    <w:rsid w:val="0010751C"/>
    <w:rsid w:val="001269F5"/>
    <w:rsid w:val="00130916"/>
    <w:rsid w:val="00131DFC"/>
    <w:rsid w:val="00150E27"/>
    <w:rsid w:val="00180A60"/>
    <w:rsid w:val="00184149"/>
    <w:rsid w:val="0018512F"/>
    <w:rsid w:val="001A477E"/>
    <w:rsid w:val="001C6F43"/>
    <w:rsid w:val="001F1F4B"/>
    <w:rsid w:val="00203FCA"/>
    <w:rsid w:val="00206B9A"/>
    <w:rsid w:val="0024646F"/>
    <w:rsid w:val="00261E35"/>
    <w:rsid w:val="002653F1"/>
    <w:rsid w:val="0027240C"/>
    <w:rsid w:val="002A1E38"/>
    <w:rsid w:val="002A6354"/>
    <w:rsid w:val="002B686D"/>
    <w:rsid w:val="002C1A4D"/>
    <w:rsid w:val="002F14A2"/>
    <w:rsid w:val="002F15ED"/>
    <w:rsid w:val="002F240D"/>
    <w:rsid w:val="00316DFB"/>
    <w:rsid w:val="00334D72"/>
    <w:rsid w:val="00380D5B"/>
    <w:rsid w:val="00392CAD"/>
    <w:rsid w:val="003943A2"/>
    <w:rsid w:val="003A675E"/>
    <w:rsid w:val="003B2E68"/>
    <w:rsid w:val="003C09C5"/>
    <w:rsid w:val="003D467B"/>
    <w:rsid w:val="00423576"/>
    <w:rsid w:val="00441B4A"/>
    <w:rsid w:val="00451463"/>
    <w:rsid w:val="004768A9"/>
    <w:rsid w:val="00495306"/>
    <w:rsid w:val="004B6297"/>
    <w:rsid w:val="004C3156"/>
    <w:rsid w:val="00501B21"/>
    <w:rsid w:val="005364D0"/>
    <w:rsid w:val="00590F7E"/>
    <w:rsid w:val="00591C0B"/>
    <w:rsid w:val="005E7E1F"/>
    <w:rsid w:val="005F6D8F"/>
    <w:rsid w:val="00630321"/>
    <w:rsid w:val="006330DD"/>
    <w:rsid w:val="00635F84"/>
    <w:rsid w:val="00643F79"/>
    <w:rsid w:val="0069175A"/>
    <w:rsid w:val="006953F7"/>
    <w:rsid w:val="006A1408"/>
    <w:rsid w:val="006A4A74"/>
    <w:rsid w:val="006B25E5"/>
    <w:rsid w:val="006B5091"/>
    <w:rsid w:val="0070063D"/>
    <w:rsid w:val="00701C95"/>
    <w:rsid w:val="00705D88"/>
    <w:rsid w:val="00717833"/>
    <w:rsid w:val="007252A6"/>
    <w:rsid w:val="00732401"/>
    <w:rsid w:val="007A5FFA"/>
    <w:rsid w:val="007C17F6"/>
    <w:rsid w:val="007C746B"/>
    <w:rsid w:val="007E7E20"/>
    <w:rsid w:val="007F6A04"/>
    <w:rsid w:val="00805D36"/>
    <w:rsid w:val="00810075"/>
    <w:rsid w:val="00821B66"/>
    <w:rsid w:val="0084481F"/>
    <w:rsid w:val="00846054"/>
    <w:rsid w:val="00852CAE"/>
    <w:rsid w:val="00856052"/>
    <w:rsid w:val="008605BA"/>
    <w:rsid w:val="00865838"/>
    <w:rsid w:val="00882FD2"/>
    <w:rsid w:val="008901DA"/>
    <w:rsid w:val="00895AC3"/>
    <w:rsid w:val="008A28C2"/>
    <w:rsid w:val="008B5093"/>
    <w:rsid w:val="008D57F8"/>
    <w:rsid w:val="008E4998"/>
    <w:rsid w:val="008E774E"/>
    <w:rsid w:val="008F1201"/>
    <w:rsid w:val="008F7D1A"/>
    <w:rsid w:val="009104F3"/>
    <w:rsid w:val="00920508"/>
    <w:rsid w:val="009235FC"/>
    <w:rsid w:val="009320C5"/>
    <w:rsid w:val="00935AFC"/>
    <w:rsid w:val="009451B6"/>
    <w:rsid w:val="00982C89"/>
    <w:rsid w:val="00983FBD"/>
    <w:rsid w:val="00986BBF"/>
    <w:rsid w:val="009975DD"/>
    <w:rsid w:val="009A4E4B"/>
    <w:rsid w:val="009A7031"/>
    <w:rsid w:val="00A171CC"/>
    <w:rsid w:val="00A261A1"/>
    <w:rsid w:val="00A44493"/>
    <w:rsid w:val="00A723FA"/>
    <w:rsid w:val="00A75D87"/>
    <w:rsid w:val="00AD3CBB"/>
    <w:rsid w:val="00B15D33"/>
    <w:rsid w:val="00B308BB"/>
    <w:rsid w:val="00B331FB"/>
    <w:rsid w:val="00B3446E"/>
    <w:rsid w:val="00B36EF8"/>
    <w:rsid w:val="00B437A5"/>
    <w:rsid w:val="00B7552A"/>
    <w:rsid w:val="00B95F96"/>
    <w:rsid w:val="00B97ECA"/>
    <w:rsid w:val="00BA0FA1"/>
    <w:rsid w:val="00BA3A92"/>
    <w:rsid w:val="00BA4757"/>
    <w:rsid w:val="00BB6BDB"/>
    <w:rsid w:val="00BE1E21"/>
    <w:rsid w:val="00BE6C9D"/>
    <w:rsid w:val="00C43309"/>
    <w:rsid w:val="00C84A02"/>
    <w:rsid w:val="00C86176"/>
    <w:rsid w:val="00CA4A6B"/>
    <w:rsid w:val="00CC0094"/>
    <w:rsid w:val="00CF05EB"/>
    <w:rsid w:val="00D12534"/>
    <w:rsid w:val="00D13850"/>
    <w:rsid w:val="00D16521"/>
    <w:rsid w:val="00D270D5"/>
    <w:rsid w:val="00D34EDB"/>
    <w:rsid w:val="00D72AA1"/>
    <w:rsid w:val="00DC3550"/>
    <w:rsid w:val="00DD658C"/>
    <w:rsid w:val="00DF27FC"/>
    <w:rsid w:val="00E259D3"/>
    <w:rsid w:val="00E320A1"/>
    <w:rsid w:val="00E41924"/>
    <w:rsid w:val="00E76E6D"/>
    <w:rsid w:val="00E936AC"/>
    <w:rsid w:val="00E936E9"/>
    <w:rsid w:val="00E96259"/>
    <w:rsid w:val="00EA6FEB"/>
    <w:rsid w:val="00EB1E51"/>
    <w:rsid w:val="00ED6537"/>
    <w:rsid w:val="00EF2DB7"/>
    <w:rsid w:val="00F42D12"/>
    <w:rsid w:val="00F46D97"/>
    <w:rsid w:val="00F52616"/>
    <w:rsid w:val="00F56EDE"/>
    <w:rsid w:val="00F7198E"/>
    <w:rsid w:val="00F74FFC"/>
    <w:rsid w:val="00F829D0"/>
    <w:rsid w:val="00F90877"/>
    <w:rsid w:val="00FA25B0"/>
    <w:rsid w:val="00FB105D"/>
    <w:rsid w:val="00FB3988"/>
    <w:rsid w:val="00FC3899"/>
    <w:rsid w:val="00FE3B1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shd w:val="clear" w:color="auto" w:fill="FFFFFF"/>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next w:val="Normal"/>
    <w:uiPriority w:val="99"/>
    <w:pPr>
      <w:widowControl w:val="0"/>
      <w:autoSpaceDE w:val="0"/>
      <w:autoSpaceDN w:val="0"/>
      <w:adjustRightInd w:val="0"/>
      <w:spacing w:after="0" w:line="240" w:lineRule="auto"/>
    </w:pPr>
    <w:rPr>
      <w:rFonts w:ascii="Arial" w:hAnsi="Arial" w:cs="Arial"/>
      <w:sz w:val="24"/>
      <w:szCs w:val="24"/>
      <w:shd w:val="clear" w:color="auto" w:fill="FFFFFF"/>
      <w:lang w:val="es-ES" w:eastAsia="es-ES"/>
    </w:rPr>
  </w:style>
  <w:style w:type="table" w:styleId="Tablaconcuadrcula">
    <w:name w:val="Table Grid"/>
    <w:basedOn w:val="Tablanormal"/>
    <w:uiPriority w:val="99"/>
    <w:rsid w:val="00E96259"/>
    <w:pPr>
      <w:widowControl w:val="0"/>
      <w:autoSpaceDE w:val="0"/>
      <w:autoSpaceDN w:val="0"/>
      <w:adjustRightInd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206B9A"/>
    <w:rPr>
      <w:color w:val="0000FF"/>
      <w:u w:val="single"/>
    </w:rPr>
  </w:style>
  <w:style w:type="character" w:customStyle="1" w:styleId="EstiloCorreo181">
    <w:name w:val="EstiloCorreo18"/>
    <w:aliases w:val="EstiloCorreo18"/>
    <w:basedOn w:val="Fuentedeprrafopredeter"/>
    <w:uiPriority w:val="99"/>
    <w:semiHidden/>
    <w:personal/>
    <w:rsid w:val="002B686D"/>
    <w:rPr>
      <w:rFonts w:ascii="Verdana" w:hAnsi="Verdana" w:cs="Verdana"/>
      <w:color w:val="000080"/>
      <w:sz w:val="22"/>
      <w:szCs w:val="22"/>
      <w:u w:val="none"/>
    </w:rPr>
  </w:style>
  <w:style w:type="character" w:customStyle="1" w:styleId="EstiloCorreo19">
    <w:name w:val="EstiloCorreo191"/>
    <w:aliases w:val="EstiloCorreo191"/>
    <w:uiPriority w:val="99"/>
    <w:semiHidden/>
    <w:personal/>
    <w:rsid w:val="00AD3CBB"/>
    <w:rPr>
      <w:rFonts w:ascii="Franklin Gothic Medium" w:hAnsi="Franklin Gothic Medium" w:cs="Franklin Gothic Medium"/>
      <w:color w:val="0000FF"/>
      <w:sz w:val="24"/>
      <w:szCs w:val="24"/>
      <w:u w:val="none"/>
    </w:rPr>
  </w:style>
  <w:style w:type="paragraph" w:styleId="Textodeglobo">
    <w:name w:val="Balloon Text"/>
    <w:basedOn w:val="Normal"/>
    <w:link w:val="TextodegloboCar"/>
    <w:uiPriority w:val="99"/>
    <w:semiHidden/>
    <w:rsid w:val="006A1408"/>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047371626">
      <w:marLeft w:val="0"/>
      <w:marRight w:val="0"/>
      <w:marTop w:val="0"/>
      <w:marBottom w:val="0"/>
      <w:divBdr>
        <w:top w:val="none" w:sz="0" w:space="0" w:color="auto"/>
        <w:left w:val="none" w:sz="0" w:space="0" w:color="auto"/>
        <w:bottom w:val="none" w:sz="0" w:space="0" w:color="auto"/>
        <w:right w:val="none" w:sz="0" w:space="0" w:color="auto"/>
      </w:divBdr>
      <w:divsChild>
        <w:div w:id="2047371635">
          <w:marLeft w:val="0"/>
          <w:marRight w:val="0"/>
          <w:marTop w:val="267"/>
          <w:marBottom w:val="0"/>
          <w:divBdr>
            <w:top w:val="single" w:sz="4" w:space="0" w:color="496077"/>
            <w:left w:val="single" w:sz="4" w:space="0" w:color="496077"/>
            <w:bottom w:val="single" w:sz="4" w:space="0" w:color="496077"/>
            <w:right w:val="single" w:sz="4" w:space="0" w:color="496077"/>
          </w:divBdr>
          <w:divsChild>
            <w:div w:id="2047371623">
              <w:marLeft w:val="267"/>
              <w:marRight w:val="107"/>
              <w:marTop w:val="160"/>
              <w:marBottom w:val="107"/>
              <w:divBdr>
                <w:top w:val="none" w:sz="0" w:space="0" w:color="auto"/>
                <w:left w:val="none" w:sz="0" w:space="0" w:color="auto"/>
                <w:bottom w:val="none" w:sz="0" w:space="0" w:color="auto"/>
                <w:right w:val="none" w:sz="0" w:space="0" w:color="auto"/>
              </w:divBdr>
              <w:divsChild>
                <w:div w:id="2047371628">
                  <w:marLeft w:val="0"/>
                  <w:marRight w:val="0"/>
                  <w:marTop w:val="0"/>
                  <w:marBottom w:val="0"/>
                  <w:divBdr>
                    <w:top w:val="none" w:sz="0" w:space="0" w:color="auto"/>
                    <w:left w:val="none" w:sz="0" w:space="0" w:color="auto"/>
                    <w:bottom w:val="none" w:sz="0" w:space="0" w:color="auto"/>
                    <w:right w:val="none" w:sz="0" w:space="0" w:color="auto"/>
                  </w:divBdr>
                  <w:divsChild>
                    <w:div w:id="2047371636">
                      <w:marLeft w:val="0"/>
                      <w:marRight w:val="0"/>
                      <w:marTop w:val="0"/>
                      <w:marBottom w:val="0"/>
                      <w:divBdr>
                        <w:top w:val="none" w:sz="0" w:space="0" w:color="auto"/>
                        <w:left w:val="none" w:sz="0" w:space="0" w:color="auto"/>
                        <w:bottom w:val="none" w:sz="0" w:space="0" w:color="auto"/>
                        <w:right w:val="none" w:sz="0" w:space="0" w:color="auto"/>
                      </w:divBdr>
                      <w:divsChild>
                        <w:div w:id="20473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371631">
      <w:marLeft w:val="0"/>
      <w:marRight w:val="0"/>
      <w:marTop w:val="0"/>
      <w:marBottom w:val="0"/>
      <w:divBdr>
        <w:top w:val="none" w:sz="0" w:space="0" w:color="auto"/>
        <w:left w:val="none" w:sz="0" w:space="0" w:color="auto"/>
        <w:bottom w:val="none" w:sz="0" w:space="0" w:color="auto"/>
        <w:right w:val="none" w:sz="0" w:space="0" w:color="auto"/>
      </w:divBdr>
      <w:divsChild>
        <w:div w:id="2047371629">
          <w:marLeft w:val="0"/>
          <w:marRight w:val="0"/>
          <w:marTop w:val="267"/>
          <w:marBottom w:val="0"/>
          <w:divBdr>
            <w:top w:val="single" w:sz="4" w:space="0" w:color="496077"/>
            <w:left w:val="single" w:sz="4" w:space="0" w:color="496077"/>
            <w:bottom w:val="single" w:sz="4" w:space="0" w:color="496077"/>
            <w:right w:val="single" w:sz="4" w:space="0" w:color="496077"/>
          </w:divBdr>
          <w:divsChild>
            <w:div w:id="2047371630">
              <w:marLeft w:val="267"/>
              <w:marRight w:val="107"/>
              <w:marTop w:val="160"/>
              <w:marBottom w:val="107"/>
              <w:divBdr>
                <w:top w:val="none" w:sz="0" w:space="0" w:color="auto"/>
                <w:left w:val="none" w:sz="0" w:space="0" w:color="auto"/>
                <w:bottom w:val="none" w:sz="0" w:space="0" w:color="auto"/>
                <w:right w:val="none" w:sz="0" w:space="0" w:color="auto"/>
              </w:divBdr>
              <w:divsChild>
                <w:div w:id="2047371639">
                  <w:marLeft w:val="0"/>
                  <w:marRight w:val="0"/>
                  <w:marTop w:val="0"/>
                  <w:marBottom w:val="0"/>
                  <w:divBdr>
                    <w:top w:val="none" w:sz="0" w:space="0" w:color="auto"/>
                    <w:left w:val="none" w:sz="0" w:space="0" w:color="auto"/>
                    <w:bottom w:val="none" w:sz="0" w:space="0" w:color="auto"/>
                    <w:right w:val="none" w:sz="0" w:space="0" w:color="auto"/>
                  </w:divBdr>
                  <w:divsChild>
                    <w:div w:id="2047371625">
                      <w:marLeft w:val="0"/>
                      <w:marRight w:val="0"/>
                      <w:marTop w:val="0"/>
                      <w:marBottom w:val="0"/>
                      <w:divBdr>
                        <w:top w:val="none" w:sz="0" w:space="0" w:color="auto"/>
                        <w:left w:val="none" w:sz="0" w:space="0" w:color="auto"/>
                        <w:bottom w:val="none" w:sz="0" w:space="0" w:color="auto"/>
                        <w:right w:val="none" w:sz="0" w:space="0" w:color="auto"/>
                      </w:divBdr>
                      <w:divsChild>
                        <w:div w:id="20473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371632">
      <w:marLeft w:val="0"/>
      <w:marRight w:val="0"/>
      <w:marTop w:val="0"/>
      <w:marBottom w:val="0"/>
      <w:divBdr>
        <w:top w:val="none" w:sz="0" w:space="0" w:color="auto"/>
        <w:left w:val="none" w:sz="0" w:space="0" w:color="auto"/>
        <w:bottom w:val="none" w:sz="0" w:space="0" w:color="auto"/>
        <w:right w:val="none" w:sz="0" w:space="0" w:color="auto"/>
      </w:divBdr>
      <w:divsChild>
        <w:div w:id="2047371638">
          <w:marLeft w:val="0"/>
          <w:marRight w:val="0"/>
          <w:marTop w:val="267"/>
          <w:marBottom w:val="0"/>
          <w:divBdr>
            <w:top w:val="single" w:sz="4" w:space="0" w:color="496077"/>
            <w:left w:val="single" w:sz="4" w:space="0" w:color="496077"/>
            <w:bottom w:val="single" w:sz="4" w:space="0" w:color="496077"/>
            <w:right w:val="single" w:sz="4" w:space="0" w:color="496077"/>
          </w:divBdr>
          <w:divsChild>
            <w:div w:id="2047371624">
              <w:marLeft w:val="267"/>
              <w:marRight w:val="107"/>
              <w:marTop w:val="160"/>
              <w:marBottom w:val="107"/>
              <w:divBdr>
                <w:top w:val="none" w:sz="0" w:space="0" w:color="auto"/>
                <w:left w:val="none" w:sz="0" w:space="0" w:color="auto"/>
                <w:bottom w:val="none" w:sz="0" w:space="0" w:color="auto"/>
                <w:right w:val="none" w:sz="0" w:space="0" w:color="auto"/>
              </w:divBdr>
              <w:divsChild>
                <w:div w:id="2047371637">
                  <w:marLeft w:val="0"/>
                  <w:marRight w:val="0"/>
                  <w:marTop w:val="0"/>
                  <w:marBottom w:val="0"/>
                  <w:divBdr>
                    <w:top w:val="none" w:sz="0" w:space="0" w:color="auto"/>
                    <w:left w:val="none" w:sz="0" w:space="0" w:color="auto"/>
                    <w:bottom w:val="none" w:sz="0" w:space="0" w:color="auto"/>
                    <w:right w:val="none" w:sz="0" w:space="0" w:color="auto"/>
                  </w:divBdr>
                  <w:divsChild>
                    <w:div w:id="2047371633">
                      <w:marLeft w:val="0"/>
                      <w:marRight w:val="0"/>
                      <w:marTop w:val="0"/>
                      <w:marBottom w:val="0"/>
                      <w:divBdr>
                        <w:top w:val="none" w:sz="0" w:space="0" w:color="auto"/>
                        <w:left w:val="none" w:sz="0" w:space="0" w:color="auto"/>
                        <w:bottom w:val="none" w:sz="0" w:space="0" w:color="auto"/>
                        <w:right w:val="none" w:sz="0" w:space="0" w:color="auto"/>
                      </w:divBdr>
                      <w:divsChild>
                        <w:div w:id="20473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3807</Characters>
  <Application>Microsoft Office Word</Application>
  <DocSecurity>0</DocSecurity>
  <Lines>31</Lines>
  <Paragraphs>8</Paragraphs>
  <ScaleCrop>false</ScaleCrop>
  <Company>WWW.ZONAVIRTUALPC.TK</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 001-2009</dc:title>
  <dc:creator>HunterSoft</dc:creator>
  <cp:lastModifiedBy>esolisr</cp:lastModifiedBy>
  <cp:revision>2</cp:revision>
  <cp:lastPrinted>2014-10-14T16:39:00Z</cp:lastPrinted>
  <dcterms:created xsi:type="dcterms:W3CDTF">2016-09-23T15:16:00Z</dcterms:created>
  <dcterms:modified xsi:type="dcterms:W3CDTF">2016-09-23T15:16:00Z</dcterms:modified>
</cp:coreProperties>
</file>